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4542CC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4542CC">
        <w:rPr>
          <w:rFonts w:asciiTheme="minorHAnsi" w:hAnsiTheme="minorHAnsi" w:cs="Calibri"/>
          <w:b/>
          <w:bCs/>
          <w:sz w:val="20"/>
          <w:szCs w:val="20"/>
        </w:rPr>
        <w:t>1.Datedespre</w:t>
      </w:r>
      <w:proofErr w:type="gramEnd"/>
      <w:r w:rsidRPr="004542CC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3A3350" w:rsidRPr="004542CC" w:rsidTr="00C504BE">
        <w:trPr>
          <w:trHeight w:val="295"/>
        </w:trPr>
        <w:tc>
          <w:tcPr>
            <w:tcW w:w="280" w:type="dxa"/>
            <w:vAlign w:val="bottom"/>
          </w:tcPr>
          <w:p w:rsidR="003A3350" w:rsidRPr="004542CC" w:rsidRDefault="00BC392A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392A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BC392A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3A3350" w:rsidRPr="004542CC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3A3350" w:rsidRPr="004542CC" w:rsidTr="00C504BE">
        <w:trPr>
          <w:trHeight w:val="266"/>
        </w:trPr>
        <w:tc>
          <w:tcPr>
            <w:tcW w:w="2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3A3350" w:rsidRPr="004542CC" w:rsidTr="00C504BE">
        <w:trPr>
          <w:trHeight w:val="260"/>
        </w:trPr>
        <w:tc>
          <w:tcPr>
            <w:tcW w:w="2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3A3350" w:rsidRPr="004542CC" w:rsidTr="00C504BE">
        <w:trPr>
          <w:trHeight w:val="264"/>
        </w:trPr>
        <w:tc>
          <w:tcPr>
            <w:tcW w:w="2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3A3350" w:rsidRPr="004542CC" w:rsidTr="00C504BE">
        <w:trPr>
          <w:trHeight w:val="266"/>
        </w:trPr>
        <w:tc>
          <w:tcPr>
            <w:tcW w:w="2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4542CC" w:rsidRDefault="004542CC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3A3350" w:rsidRPr="004542CC" w:rsidTr="00C504BE">
        <w:trPr>
          <w:trHeight w:val="238"/>
        </w:trPr>
        <w:tc>
          <w:tcPr>
            <w:tcW w:w="2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3A3350" w:rsidRPr="004542CC" w:rsidRDefault="00983F9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3A3350" w:rsidRPr="004542CC" w:rsidTr="00C504BE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4542CC">
        <w:rPr>
          <w:rFonts w:asciiTheme="minorHAnsi" w:hAnsiTheme="minorHAnsi"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3A3350" w:rsidRPr="004542CC" w:rsidTr="00C504BE">
        <w:trPr>
          <w:trHeight w:val="300"/>
        </w:trPr>
        <w:tc>
          <w:tcPr>
            <w:tcW w:w="281" w:type="dxa"/>
            <w:vAlign w:val="bottom"/>
          </w:tcPr>
          <w:p w:rsidR="003A3350" w:rsidRPr="004542CC" w:rsidRDefault="00BC392A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392A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BC392A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3A3350" w:rsidRPr="004542CC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3A3350" w:rsidRPr="004542CC" w:rsidRDefault="003E1452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Analiza de politici publice</w:t>
            </w:r>
          </w:p>
        </w:tc>
      </w:tr>
      <w:tr w:rsidR="003A3350" w:rsidRPr="004542CC" w:rsidTr="00C504BE">
        <w:trPr>
          <w:trHeight w:val="261"/>
        </w:trPr>
        <w:tc>
          <w:tcPr>
            <w:tcW w:w="281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3A3350" w:rsidRPr="004542CC" w:rsidRDefault="003E1452" w:rsidP="003E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Mihaela</w:t>
            </w:r>
            <w:proofErr w:type="spellEnd"/>
            <w:r w:rsidR="002D3C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Lambru</w:t>
            </w:r>
            <w:proofErr w:type="spellEnd"/>
          </w:p>
        </w:tc>
      </w:tr>
      <w:tr w:rsidR="003A3350" w:rsidRPr="004542CC" w:rsidTr="00C504BE">
        <w:trPr>
          <w:trHeight w:val="266"/>
        </w:trPr>
        <w:tc>
          <w:tcPr>
            <w:tcW w:w="281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38"/>
        </w:trPr>
        <w:tc>
          <w:tcPr>
            <w:tcW w:w="281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3A3350" w:rsidRPr="004542CC" w:rsidTr="00C504BE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350" w:rsidRPr="004B0B39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B0B3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4B0B3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3.Timpul</w:t>
      </w:r>
      <w:proofErr w:type="gramEnd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 xml:space="preserve"> total </w:t>
      </w:r>
      <w:proofErr w:type="spell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 xml:space="preserve"> (ore </w:t>
      </w:r>
      <w:proofErr w:type="spell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pe</w:t>
      </w:r>
      <w:proofErr w:type="spellEnd"/>
      <w:r w:rsidR="004B0B39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semestru</w:t>
      </w:r>
      <w:proofErr w:type="spellEnd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activităţilor</w:t>
      </w:r>
      <w:proofErr w:type="spellEnd"/>
      <w:r w:rsidR="004B0B39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didactice</w:t>
      </w:r>
      <w:proofErr w:type="spellEnd"/>
      <w:r w:rsidR="003A3350" w:rsidRPr="004B0B39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3A3350" w:rsidRPr="004B0B39" w:rsidTr="00C504BE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BC392A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4B0B3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3A3350" w:rsidRPr="004B0B39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3A3350" w:rsidRPr="004B0B39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3A3350" w:rsidRPr="004B0B39">
              <w:rPr>
                <w:rFonts w:asciiTheme="minorHAnsi" w:hAnsiTheme="minorHAnsi" w:cs="Calibri"/>
                <w:sz w:val="20"/>
                <w:szCs w:val="20"/>
              </w:rPr>
              <w:t xml:space="preserve"> de ore </w:t>
            </w:r>
            <w:proofErr w:type="spellStart"/>
            <w:r w:rsidR="003A3350" w:rsidRPr="004B0B3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</w:p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553C03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0B3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A3350" w:rsidRPr="004B0B39" w:rsidRDefault="00553C03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>din care: 2</w:t>
            </w:r>
            <w:r w:rsidR="003A3350" w:rsidRPr="004B0B39">
              <w:rPr>
                <w:rFonts w:asciiTheme="minorHAnsi" w:hAnsiTheme="minorHAnsi" w:cs="Calibri"/>
                <w:sz w:val="20"/>
                <w:szCs w:val="20"/>
              </w:rPr>
              <w:t xml:space="preserve">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seminar/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  <w:r w:rsidR="00553C03" w:rsidRPr="004B0B39">
              <w:rPr>
                <w:rFonts w:asciiTheme="minorHAnsi" w:hAnsiTheme="minorHAnsi" w:cs="Calibri"/>
                <w:sz w:val="20"/>
                <w:szCs w:val="20"/>
              </w:rPr>
              <w:t xml:space="preserve"> 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B0B39" w:rsidTr="00C504BE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553C03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64304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B0B39" w:rsidTr="00C504BE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Distribuţiafondului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B0B39" w:rsidRDefault="00E5627B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</w:tr>
      <w:tr w:rsidR="004B0B39" w:rsidRPr="004B0B39" w:rsidTr="00C504BE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4B0B39" w:rsidRPr="004B0B39" w:rsidTr="00C504BE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peplatformele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4B0B39" w:rsidRPr="004B0B39" w:rsidTr="00C504BE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Pregătire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seminarii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4B0B39" w:rsidRPr="004B0B39" w:rsidTr="00C504BE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4B0B39" w:rsidRPr="004B0B39" w:rsidTr="00C504BE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4B0B39" w:rsidRPr="004B0B39" w:rsidTr="00C504BE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4B0B39" w:rsidRPr="004B0B39" w:rsidTr="00C504BE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</w:tr>
      <w:tr w:rsidR="004B0B39" w:rsidRPr="004B0B39" w:rsidTr="00C504BE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3.9 Total ore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</w:tr>
      <w:tr w:rsidR="004B0B39" w:rsidRPr="004542CC" w:rsidTr="00C504BE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4B0B3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B0B39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0B39" w:rsidRPr="004B0B39" w:rsidRDefault="004B0B39" w:rsidP="00AA4FE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B39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0B3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3A3350" w:rsidRPr="004542CC" w:rsidTr="00C504BE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3A3350" w:rsidRPr="004542CC" w:rsidTr="00C504BE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3A3350" w:rsidRPr="004542CC" w:rsidTr="00C504BE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3A3350" w:rsidRPr="004542CC" w:rsidTr="00C504BE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acolo</w:t>
            </w:r>
            <w:proofErr w:type="spellEnd"/>
            <w:r w:rsidR="00983F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="00983F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983F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cazul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3A3350" w:rsidRPr="004542CC" w:rsidTr="00C504BE">
        <w:trPr>
          <w:trHeight w:val="169"/>
        </w:trPr>
        <w:tc>
          <w:tcPr>
            <w:tcW w:w="1728" w:type="dxa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3A3350" w:rsidRPr="00983F99" w:rsidRDefault="003A3350" w:rsidP="00425F0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169"/>
        </w:trPr>
        <w:tc>
          <w:tcPr>
            <w:tcW w:w="1728" w:type="dxa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5.2.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seminarului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3A3350" w:rsidRPr="004542CC" w:rsidTr="00C504BE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Competenţe</w:t>
            </w:r>
            <w:r w:rsidR="002D3CCA">
              <w:rPr>
                <w:rFonts w:asciiTheme="minorHAnsi" w:hAnsiTheme="minorHAnsi"/>
                <w:b/>
                <w:sz w:val="20"/>
                <w:szCs w:val="20"/>
              </w:rPr>
              <w:t>le</w:t>
            </w:r>
            <w:proofErr w:type="spellEnd"/>
            <w:r w:rsidR="002D3CCA">
              <w:rPr>
                <w:rFonts w:asciiTheme="minorHAnsi" w:hAnsiTheme="minorHAnsi"/>
                <w:b/>
                <w:sz w:val="20"/>
                <w:szCs w:val="20"/>
              </w:rPr>
              <w:t xml:space="preserve"> specific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3A3350" w:rsidRPr="004542CC" w:rsidTr="00C504BE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2D3C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3A3350" w:rsidRPr="00C504BE" w:rsidRDefault="00C504BE" w:rsidP="00C504B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Cunoașterea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înțelegerea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rolul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sectorului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public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modalitatilor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colective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luare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decizie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privind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alocarea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resurse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problem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identificate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504BE" w:rsidRPr="00C504BE" w:rsidRDefault="00C504BE" w:rsidP="00C504B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Cunoașterea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înțelegerea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utilizarea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metodologiilor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utilizate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analistul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care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asistă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decizia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C504BE">
              <w:rPr>
                <w:rFonts w:asciiTheme="minorHAnsi" w:hAnsiTheme="minorHAnsi"/>
                <w:sz w:val="20"/>
                <w:szCs w:val="20"/>
              </w:rPr>
              <w:t>diferite</w:t>
            </w:r>
            <w:proofErr w:type="spellEnd"/>
            <w:r w:rsidRPr="00C504BE">
              <w:rPr>
                <w:rFonts w:asciiTheme="minorHAnsi" w:hAnsiTheme="minorHAnsi"/>
                <w:sz w:val="20"/>
                <w:szCs w:val="20"/>
              </w:rPr>
              <w:t xml:space="preserve"> niveluri – central, local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504BE" w:rsidRPr="004542CC" w:rsidRDefault="00C504BE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A3350" w:rsidRPr="004542CC" w:rsidTr="00C504BE">
        <w:trPr>
          <w:trHeight w:hRule="exact" w:val="1757"/>
        </w:trPr>
        <w:tc>
          <w:tcPr>
            <w:tcW w:w="1384" w:type="dxa"/>
            <w:shd w:val="clear" w:color="auto" w:fill="FFFFFF"/>
            <w:vAlign w:val="center"/>
          </w:tcPr>
          <w:p w:rsidR="002D3CCA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Competente</w:t>
            </w:r>
            <w:proofErr w:type="spellEnd"/>
            <w:r w:rsidR="002D3C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3A3350" w:rsidRPr="00C504BE" w:rsidRDefault="00C504BE" w:rsidP="00C504B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04BE">
              <w:rPr>
                <w:rFonts w:asciiTheme="minorHAnsi" w:hAnsiTheme="minorHAnsi"/>
                <w:sz w:val="20"/>
                <w:szCs w:val="20"/>
              </w:rPr>
              <w:t>Responsabilitate în raport cu sarcinile specifice muncii;</w:t>
            </w:r>
          </w:p>
          <w:p w:rsidR="00C504BE" w:rsidRPr="00C504BE" w:rsidRDefault="00C504BE" w:rsidP="00C504B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04BE">
              <w:rPr>
                <w:rFonts w:asciiTheme="minorHAnsi" w:hAnsiTheme="minorHAnsi"/>
                <w:sz w:val="20"/>
                <w:szCs w:val="20"/>
              </w:rPr>
              <w:t>Dezvoltarea capacității de lucru în echipă;</w:t>
            </w:r>
          </w:p>
          <w:p w:rsidR="00C504BE" w:rsidRPr="00C504BE" w:rsidRDefault="00C504BE" w:rsidP="00C504B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04BE">
              <w:rPr>
                <w:rFonts w:asciiTheme="minorHAnsi" w:hAnsiTheme="minorHAnsi"/>
                <w:sz w:val="20"/>
                <w:szCs w:val="20"/>
              </w:rPr>
              <w:t>Comportment etic.</w:t>
            </w: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3A3350" w:rsidRPr="004542CC" w:rsidTr="00C504BE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Obiectiveledisciplinei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grila</w:t>
            </w:r>
            <w:proofErr w:type="spellEnd"/>
            <w:r w:rsidR="002D3C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competenţelor</w:t>
            </w:r>
            <w:proofErr w:type="spellEnd"/>
            <w:r w:rsidR="002D3CCA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acumulate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A3350" w:rsidRPr="004542CC" w:rsidTr="00C504BE">
        <w:trPr>
          <w:trHeight w:val="169"/>
        </w:trPr>
        <w:tc>
          <w:tcPr>
            <w:tcW w:w="3168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D32DEB" w:rsidRPr="004542CC" w:rsidRDefault="00D32DEB" w:rsidP="00D32DEB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Cursul</w:t>
            </w:r>
            <w:proofErr w:type="spellEnd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Analiza</w:t>
            </w:r>
            <w:proofErr w:type="spellEnd"/>
            <w:r w:rsidR="00983F99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politicilor</w:t>
            </w:r>
            <w:proofErr w:type="spellEnd"/>
            <w:r w:rsidR="00983F99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 w:rsidR="00983F99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oferă</w:t>
            </w:r>
            <w:proofErr w:type="spellEnd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un </w:t>
            </w:r>
            <w:proofErr w:type="spellStart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cadru</w:t>
            </w:r>
            <w:proofErr w:type="spellEnd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general </w:t>
            </w:r>
            <w:proofErr w:type="spellStart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pentru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înțelegerea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modului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in ca</w:t>
            </w:r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r</w:t>
            </w:r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e</w:t>
            </w:r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se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iau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decizii</w:t>
            </w:r>
            <w:proofErr w:type="spellEnd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in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organizațiile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publice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contemporane</w:t>
            </w:r>
            <w:proofErr w:type="spellEnd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, cu accent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pe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prezentarea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unui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pachet</w:t>
            </w:r>
            <w:proofErr w:type="spellEnd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analize</w:t>
            </w:r>
            <w:proofErr w:type="spellEnd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tip </w:t>
            </w:r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evaluative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specificed</w:t>
            </w:r>
            <w:proofErr w:type="spellEnd"/>
            <w:r w:rsidR="00983F99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omeniului</w:t>
            </w:r>
            <w:proofErr w:type="spellEnd"/>
            <w:r w:rsidRPr="004542CC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D32DEB" w:rsidRPr="004542CC" w:rsidRDefault="00D32DEB" w:rsidP="00D32D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Altfel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spus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curs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oferă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perspectivă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:rsidR="00D32DEB" w:rsidRPr="004542CC" w:rsidRDefault="00D32DEB" w:rsidP="00D32DE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rolul</w:t>
            </w:r>
            <w:proofErr w:type="spellEnd"/>
            <w:proofErr w:type="gram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sectorului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public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modalitatilor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colective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luare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decizie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privind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alocarea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resurse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problem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identificate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. In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acordăm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atenție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special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analizei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capacității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organizațiilor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materie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coordonare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management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participativ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proceselor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domeniului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politicilor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504BE" w:rsidRDefault="00D32DEB" w:rsidP="00BD77E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rolul</w:t>
            </w:r>
            <w:proofErr w:type="spellEnd"/>
            <w:proofErr w:type="gram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metodologiilor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utilizate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analistul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care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asistă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decizia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diferite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ni</w:t>
            </w:r>
            <w:r w:rsidR="00BD77E7" w:rsidRPr="004542CC">
              <w:rPr>
                <w:rFonts w:asciiTheme="minorHAnsi" w:hAnsiTheme="minorHAnsi"/>
                <w:sz w:val="20"/>
                <w:szCs w:val="20"/>
              </w:rPr>
              <w:t>veluri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– central, local. </w:t>
            </w:r>
          </w:p>
          <w:p w:rsidR="00C504BE" w:rsidRDefault="00BD77E7" w:rsidP="00BD77E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sunt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expuși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prezentarea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unor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metodologii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lucru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tip problem solving,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discuta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analizează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modalități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problem framing, </w:t>
            </w:r>
            <w:proofErr w:type="spellStart"/>
            <w:proofErr w:type="gramStart"/>
            <w:r w:rsidRPr="004542CC">
              <w:rPr>
                <w:rFonts w:asciiTheme="minorHAnsi" w:hAnsiTheme="minorHAnsi"/>
                <w:sz w:val="20"/>
                <w:szCs w:val="20"/>
              </w:rPr>
              <w:t>discută</w:t>
            </w:r>
            <w:proofErr w:type="spellEnd"/>
            <w:proofErr w:type="gram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despre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variante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identificare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alternative.</w:t>
            </w:r>
          </w:p>
          <w:p w:rsidR="00BD77E7" w:rsidRPr="004542CC" w:rsidRDefault="00BD77E7" w:rsidP="00BD77E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A3350" w:rsidRPr="004542CC" w:rsidRDefault="00D32DEB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sens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transmite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cunoștințe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fundamentale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prezentarea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principalelor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teorii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modele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dezvoltate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domeniului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studiu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analizei</w:t>
            </w:r>
            <w:proofErr w:type="spellEnd"/>
            <w:r w:rsidR="00BD77E7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77E7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Diseminarea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cunoștințelor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va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realize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atât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intermediul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cât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exerciții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seminar.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lângă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formarea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profesionale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cursul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urmărește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s</w:t>
            </w:r>
            <w:r w:rsidRPr="004542CC">
              <w:rPr>
                <w:rFonts w:asciiTheme="minorHAnsi" w:hAnsiTheme="minorHAnsi"/>
                <w:sz w:val="20"/>
                <w:szCs w:val="20"/>
              </w:rPr>
              <w:t>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dezvolte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transversale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a le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facilita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acestora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integrarea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</w:rPr>
              <w:t>muncă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A3350" w:rsidRPr="004542CC" w:rsidTr="00C504BE">
        <w:trPr>
          <w:trHeight w:val="169"/>
        </w:trPr>
        <w:tc>
          <w:tcPr>
            <w:tcW w:w="3168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7.2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E234B4" w:rsidRPr="004542CC" w:rsidRDefault="00BD77E7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>(1) Cursul oferă participanților o perspectivă globală și generală cu privire la caracteristicile și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specificului analizei de politici publice</w:t>
            </w: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. (2) Cursul facilitează studenților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>d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obindirea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cunostinte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aprofundate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întelegerea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conceptelor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cheie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proces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luarea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deciziei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alocarea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resurse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abilitatea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conecta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cunostintele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teoretice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specific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proces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luarea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deciziei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>c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ele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legate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problemele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concrete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apar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procesul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reforma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administraţia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</w:p>
          <w:p w:rsidR="00BD77E7" w:rsidRPr="004542CC" w:rsidRDefault="00BD77E7" w:rsidP="00B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(3) Cursul permite asimilarea vocabularului / limbajului specific utilizat în domeniul de studiu al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politicilor publice </w:t>
            </w: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>;</w:t>
            </w:r>
          </w:p>
          <w:p w:rsidR="00BD77E7" w:rsidRPr="004542CC" w:rsidRDefault="00BD77E7" w:rsidP="00B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>(4) Cursul facilitează abordarea critică a diverselor practici organizaționale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din zona cercetărilor evaluative</w:t>
            </w: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>;</w:t>
            </w:r>
          </w:p>
          <w:p w:rsidR="00BD77E7" w:rsidRPr="004542CC" w:rsidRDefault="00BD77E7" w:rsidP="00E234B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(5) Cursul permite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dezvoltarea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capacitată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ții de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procese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luarea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deciziilor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vizind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resurse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,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capacitatea de a analiza si sintetiza date si documente in vederea sprijinului pentru factori decidenti din administratia publica locala si centrală;</w:t>
            </w:r>
          </w:p>
          <w:p w:rsidR="00E234B4" w:rsidRPr="004542CC" w:rsidRDefault="00BD77E7" w:rsidP="00E234B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ro-RO"/>
              </w:rPr>
              <w:lastRenderedPageBreak/>
              <w:t xml:space="preserve">(6) Cursul oferă cadrul necesar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pentru a crește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dinamica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procesului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actorilor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implicati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și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sustine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decizia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prin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recomandari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ac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iune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redacta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raport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comprehensiv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analiză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realiza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un design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coerent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sectoriala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centrală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locala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sau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regională</w:t>
            </w:r>
            <w:proofErr w:type="spellEnd"/>
            <w:r w:rsidR="00E234B4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</w:p>
          <w:p w:rsidR="003A3350" w:rsidRPr="004542CC" w:rsidRDefault="003A3350" w:rsidP="00E234B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3A3350" w:rsidRPr="004542CC" w:rsidTr="00C504BE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3A3350" w:rsidRPr="004542CC" w:rsidTr="00C504BE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3A3350" w:rsidRPr="004542CC" w:rsidTr="00C504BE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A80694" w:rsidRDefault="007C14C9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1. </w:t>
            </w:r>
            <w:r w:rsidR="004B0B39">
              <w:rPr>
                <w:rFonts w:asciiTheme="minorHAnsi" w:hAnsiTheme="minorHAnsi"/>
                <w:sz w:val="20"/>
                <w:szCs w:val="20"/>
                <w:lang w:val="it-IT"/>
              </w:rPr>
              <w:t>C</w:t>
            </w:r>
            <w:r w:rsidR="00A80694">
              <w:rPr>
                <w:rFonts w:asciiTheme="minorHAnsi" w:hAnsiTheme="minorHAnsi"/>
                <w:sz w:val="20"/>
                <w:szCs w:val="20"/>
                <w:lang w:val="it-IT"/>
              </w:rPr>
              <w:t>urs introductiv.</w:t>
            </w:r>
          </w:p>
          <w:p w:rsidR="007C14C9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2. 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Decizie politică şi politici publice</w:t>
            </w:r>
            <w:r w:rsidR="00F61FB3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definiţie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concepte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cheie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 ;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tipologia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;</w:t>
            </w:r>
          </w:p>
          <w:p w:rsidR="007C14C9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3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Probleme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Identificarea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definirea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problemei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tipologia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problemelor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caracteristici</w:t>
            </w:r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problemelor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F61FB3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 ;</w:t>
            </w:r>
          </w:p>
          <w:p w:rsidR="007C14C9" w:rsidRPr="004542CC" w:rsidRDefault="00A80694" w:rsidP="004B0B39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4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Construcţie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agendă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actorii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mplicaţi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mecanisme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luare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deciziei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;</w:t>
            </w:r>
          </w:p>
          <w:p w:rsidR="007C14C9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5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 Procesul de analiză a politicilor publice ;</w:t>
            </w:r>
          </w:p>
          <w:p w:rsidR="007C14C9" w:rsidRPr="004542CC" w:rsidRDefault="007C14C9" w:rsidP="004B0B3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>modele teoretice de analiză a politicilor publice;</w:t>
            </w:r>
          </w:p>
          <w:p w:rsidR="007C14C9" w:rsidRPr="004542CC" w:rsidRDefault="007C14C9" w:rsidP="004B0B39">
            <w:pPr>
              <w:numPr>
                <w:ilvl w:val="0"/>
                <w:numId w:val="7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>rol</w:t>
            </w:r>
            <w:r w:rsidR="00A44FB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ul analizei de politici publice;</w:t>
            </w:r>
          </w:p>
          <w:p w:rsidR="001F0E26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6</w:t>
            </w:r>
            <w:r w:rsidR="001F0E26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.Procesul de analiză a politicilor publice ;</w:t>
            </w:r>
          </w:p>
          <w:p w:rsidR="001F0E26" w:rsidRPr="004542CC" w:rsidRDefault="001F0E26" w:rsidP="004B0B3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>modele teoretice de analiză a politicilor publice;</w:t>
            </w:r>
          </w:p>
          <w:p w:rsidR="007C14C9" w:rsidRPr="004542CC" w:rsidRDefault="001F0E26" w:rsidP="004B0B39">
            <w:pPr>
              <w:numPr>
                <w:ilvl w:val="0"/>
                <w:numId w:val="7"/>
              </w:numPr>
              <w:spacing w:after="0"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>rolul analizei de politici publice.(partea a 2°)</w:t>
            </w:r>
          </w:p>
          <w:p w:rsidR="007C14C9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7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="001F0E26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Metoda rațională de analiză a problemelor de politcă publică (Problem solving approach) </w:t>
            </w:r>
            <w:r w:rsidR="00C504BE">
              <w:rPr>
                <w:rFonts w:asciiTheme="minorHAnsi" w:hAnsiTheme="minorHAnsi"/>
                <w:sz w:val="20"/>
                <w:szCs w:val="20"/>
                <w:lang w:val="it-IT"/>
              </w:rPr>
              <w:t>–</w:t>
            </w:r>
            <w:r w:rsidR="00F91AAD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definirea</w:t>
            </w:r>
            <w:proofErr w:type="spellEnd"/>
            <w:r w:rsidR="00C504BE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problemei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,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stabilirea</w:t>
            </w:r>
            <w:proofErr w:type="spellEnd"/>
            <w:r w:rsidR="00C504BE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criteriilor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 de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evaluare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,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identificarea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 de  alternative </w:t>
            </w:r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opţiuni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)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acţiune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evaluarea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şi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compararea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alternativelor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şi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recomandarea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schemei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politică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publică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urmat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.</w:t>
            </w:r>
          </w:p>
          <w:p w:rsidR="00DB24B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8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="00F91AAD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Metoda rațională de analiză a problemelor de politcă publică (Problem solving approach) </w:t>
            </w:r>
            <w:r w:rsidR="00C504BE">
              <w:rPr>
                <w:rFonts w:asciiTheme="minorHAnsi" w:hAnsiTheme="minorHAnsi"/>
                <w:sz w:val="20"/>
                <w:szCs w:val="20"/>
                <w:lang w:val="it-IT"/>
              </w:rPr>
              <w:t>–</w:t>
            </w:r>
            <w:r w:rsidR="00F91AAD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definirea</w:t>
            </w:r>
            <w:proofErr w:type="spellEnd"/>
            <w:r w:rsidR="00C504BE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problemei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,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stabilirea</w:t>
            </w:r>
            <w:proofErr w:type="spellEnd"/>
            <w:r w:rsidR="00C504BE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criteriilor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 de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evaluare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, 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>identificarea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w w:val="102"/>
                <w:sz w:val="20"/>
                <w:szCs w:val="20"/>
              </w:rPr>
              <w:t xml:space="preserve">  de  alternative </w:t>
            </w:r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opţiuni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)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acţiune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evaluarea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şi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compararea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alternativelor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şi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recomandarea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schemei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politică</w:t>
            </w:r>
            <w:proofErr w:type="spellEnd"/>
            <w:r w:rsidR="00C504BE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publică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urmat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.(</w:t>
            </w:r>
            <w:proofErr w:type="spellStart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partea</w:t>
            </w:r>
            <w:proofErr w:type="spellEnd"/>
            <w:r w:rsidR="00F91AAD" w:rsidRPr="004542CC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 xml:space="preserve"> a 2a)</w:t>
            </w:r>
          </w:p>
          <w:p w:rsidR="007C14C9" w:rsidRPr="004542CC" w:rsidRDefault="00A80694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9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="00F91AAD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Elaborarea politicilor publice.</w:t>
            </w:r>
          </w:p>
          <w:p w:rsidR="007C14C9" w:rsidRPr="004542CC" w:rsidRDefault="00DB24BC" w:rsidP="004B0B3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10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Implementarea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 </w:t>
            </w:r>
          </w:p>
          <w:p w:rsidR="00F91AAD" w:rsidRPr="004542CC" w:rsidRDefault="00DB24BC" w:rsidP="004B0B39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11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Evaluare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</w:p>
          <w:p w:rsidR="007C14C9" w:rsidRPr="004542CC" w:rsidRDefault="00F91AAD" w:rsidP="004B0B39">
            <w:pPr>
              <w:tabs>
                <w:tab w:val="left" w:pos="-54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evaluarea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juridică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evaluarea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politică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consultarea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cu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subsístemele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politicilor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şi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cu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opinia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>publică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; </w:t>
            </w:r>
          </w:p>
          <w:p w:rsidR="007C14C9" w:rsidRPr="004542CC" w:rsidRDefault="00DB24BC" w:rsidP="004B0B39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12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Coordonare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Capa</w:t>
            </w:r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citatea</w:t>
            </w:r>
            <w:proofErr w:type="spellEnd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Elaborare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participativă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publice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advocacy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consultare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F91AAD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A44FB9" w:rsidRPr="004542CC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A44FB9" w:rsidRPr="004542CC" w:rsidRDefault="00DB24BC" w:rsidP="004B0B39">
            <w:pPr>
              <w:tabs>
                <w:tab w:val="left" w:pos="-54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13</w:t>
            </w:r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. 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Administraţie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Rolul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administraţiei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central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 locale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procesul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implementare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deciziilor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politică</w:t>
            </w:r>
            <w:proofErr w:type="spellEnd"/>
            <w:r w:rsidR="00C50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C14C9" w:rsidRPr="004542CC">
              <w:rPr>
                <w:rFonts w:asciiTheme="minorHAnsi" w:hAnsiTheme="minorHAnsi"/>
                <w:sz w:val="20"/>
                <w:szCs w:val="20"/>
              </w:rPr>
              <w:t>publică</w:t>
            </w:r>
            <w:proofErr w:type="spellEnd"/>
            <w:r w:rsidR="007C14C9" w:rsidRPr="004542CC">
              <w:rPr>
                <w:rFonts w:asciiTheme="minorHAnsi" w:hAnsiTheme="minorHAnsi"/>
                <w:sz w:val="20"/>
                <w:szCs w:val="20"/>
              </w:rPr>
              <w:t xml:space="preserve"> ;</w:t>
            </w:r>
          </w:p>
          <w:p w:rsidR="007C14C9" w:rsidRPr="004542CC" w:rsidRDefault="00DB24BC" w:rsidP="004B0B39">
            <w:pPr>
              <w:tabs>
                <w:tab w:val="left" w:pos="-540"/>
              </w:tabs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14</w:t>
            </w:r>
            <w:bookmarkStart w:id="2" w:name="_GoBack"/>
            <w:bookmarkEnd w:id="2"/>
            <w:r w:rsidR="007C14C9" w:rsidRPr="004542CC">
              <w:rPr>
                <w:rFonts w:asciiTheme="minorHAnsi" w:hAnsiTheme="minorHAnsi"/>
                <w:sz w:val="20"/>
                <w:szCs w:val="20"/>
                <w:lang w:val="it-IT"/>
              </w:rPr>
              <w:t>.Curs final. Sinteza discuțiilor din cadrul cursului. Sesiune finala de intrebări și răspunsuri.</w:t>
            </w:r>
          </w:p>
          <w:p w:rsidR="00934EB8" w:rsidRPr="004542CC" w:rsidRDefault="00934EB8" w:rsidP="004B0B3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3350" w:rsidRPr="004542CC" w:rsidRDefault="003A3350" w:rsidP="00C504BE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3A3350" w:rsidRPr="004542CC" w:rsidRDefault="007C14C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învățare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activă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expunere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didactică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dezbatere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3A3350" w:rsidRPr="004542CC" w:rsidRDefault="003A3350" w:rsidP="00C504BE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3A3350" w:rsidRPr="004542CC" w:rsidRDefault="00934EB8" w:rsidP="004B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4E73D7" w:rsidRPr="004542CC" w:rsidRDefault="004E73D7" w:rsidP="004B0B39">
            <w:pPr>
              <w:pStyle w:val="FootnoteText"/>
              <w:ind w:left="360"/>
              <w:jc w:val="both"/>
              <w:rPr>
                <w:rFonts w:asciiTheme="minorHAnsi" w:hAnsiTheme="minorHAnsi" w:cs="Arial"/>
              </w:rPr>
            </w:pP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Buchanan, James M.1980.”Rent Seeking and Profit Seeking”. In “Toward a Theory of the Rent-seeking Society” </w:t>
            </w:r>
            <w:proofErr w:type="spellStart"/>
            <w:r w:rsidRPr="004542CC">
              <w:rPr>
                <w:rFonts w:asciiTheme="minorHAnsi" w:hAnsiTheme="minorHAnsi" w:cs="Arial"/>
              </w:rPr>
              <w:t>editata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de James M. Buchanan, Robert D. </w:t>
            </w:r>
            <w:proofErr w:type="spellStart"/>
            <w:r w:rsidRPr="004542CC">
              <w:rPr>
                <w:rFonts w:asciiTheme="minorHAnsi" w:hAnsiTheme="minorHAnsi" w:cs="Arial"/>
              </w:rPr>
              <w:t>Tollisonsi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Gordon </w:t>
            </w:r>
            <w:proofErr w:type="spellStart"/>
            <w:r w:rsidRPr="004542CC">
              <w:rPr>
                <w:rFonts w:asciiTheme="minorHAnsi" w:hAnsiTheme="minorHAnsi" w:cs="Arial"/>
              </w:rPr>
              <w:t>Tullock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4542CC">
              <w:rPr>
                <w:rFonts w:asciiTheme="minorHAnsi" w:hAnsiTheme="minorHAnsi" w:cs="Arial"/>
              </w:rPr>
              <w:t>Texax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A&amp;M University Press.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Buchanan, James M. </w:t>
            </w:r>
            <w:proofErr w:type="spellStart"/>
            <w:r w:rsidRPr="004542CC">
              <w:rPr>
                <w:rFonts w:asciiTheme="minorHAnsi" w:hAnsiTheme="minorHAnsi" w:cs="Arial"/>
              </w:rPr>
              <w:t>si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Gordon Tullock.1962.”The Calculus of Consent”. University of </w:t>
            </w:r>
            <w:proofErr w:type="spellStart"/>
            <w:r w:rsidRPr="004542CC">
              <w:rPr>
                <w:rFonts w:asciiTheme="minorHAnsi" w:hAnsiTheme="minorHAnsi" w:cs="Arial"/>
              </w:rPr>
              <w:t>Mishigan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Press.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Bennet, Douglas C. </w:t>
            </w:r>
            <w:proofErr w:type="spellStart"/>
            <w:r w:rsidRPr="004542CC">
              <w:rPr>
                <w:rFonts w:asciiTheme="minorHAnsi" w:hAnsiTheme="minorHAnsi" w:cs="Arial"/>
              </w:rPr>
              <w:t>si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Kenneth E. Sharpe.1985.”Transnational Corporations versus the </w:t>
            </w:r>
            <w:proofErr w:type="spellStart"/>
            <w:r w:rsidRPr="004542CC">
              <w:rPr>
                <w:rFonts w:asciiTheme="minorHAnsi" w:hAnsiTheme="minorHAnsi" w:cs="Arial"/>
              </w:rPr>
              <w:t>State</w:t>
            </w:r>
            <w:proofErr w:type="gramStart"/>
            <w:r w:rsidRPr="004542CC">
              <w:rPr>
                <w:rFonts w:asciiTheme="minorHAnsi" w:hAnsiTheme="minorHAnsi" w:cs="Arial"/>
              </w:rPr>
              <w:t>:The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Political Economy of the Mexican Auto </w:t>
            </w:r>
            <w:proofErr w:type="spellStart"/>
            <w:r w:rsidRPr="004542CC">
              <w:rPr>
                <w:rFonts w:asciiTheme="minorHAnsi" w:hAnsiTheme="minorHAnsi" w:cs="Arial"/>
              </w:rPr>
              <w:t>Industry”.Princeton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University Press.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>Dye, Thomas R</w:t>
            </w:r>
            <w:proofErr w:type="gramStart"/>
            <w:r w:rsidRPr="004542CC">
              <w:rPr>
                <w:rFonts w:asciiTheme="minorHAnsi" w:hAnsiTheme="minorHAnsi" w:cs="Arial"/>
              </w:rPr>
              <w:t>..”</w:t>
            </w:r>
            <w:proofErr w:type="gramEnd"/>
            <w:r w:rsidRPr="004542CC">
              <w:rPr>
                <w:rFonts w:asciiTheme="minorHAnsi" w:hAnsiTheme="minorHAnsi" w:cs="Arial"/>
              </w:rPr>
              <w:t>Understanding Public Policy” 1998, Prentice-Hall.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>Dunn, William N.1978”Public Policy Analysis”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>Easton, David.1965.”A Framework of Political Analysis” Prentice Hall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Grindle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Merilee S.1980.”Politics and Policy Implementation in the Third </w:t>
            </w:r>
            <w:proofErr w:type="spellStart"/>
            <w:r w:rsidRPr="004542CC">
              <w:rPr>
                <w:rFonts w:asciiTheme="minorHAnsi" w:hAnsiTheme="minorHAnsi" w:cs="Arial"/>
              </w:rPr>
              <w:t>World”.Princeton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University Press.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Grindle. Merilee S. si Thomas, John W.1991.”Public choices and policy change:the political economy of reform”. The Johns Hopkins University Press. 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Howlett, Michael, M. Ramesh, </w:t>
            </w:r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>Studying Public Policy – Policy Cycles and Policy Susystems</w:t>
            </w:r>
            <w:r w:rsidRPr="004542CC">
              <w:rPr>
                <w:rFonts w:asciiTheme="minorHAnsi" w:hAnsiTheme="minorHAnsi" w:cs="Arial"/>
                <w:sz w:val="20"/>
                <w:szCs w:val="20"/>
              </w:rPr>
              <w:t>, Oxford University Press, Oxford et al., 1995;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Le Grand, Julian, Will Bartlett, </w:t>
            </w:r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>Quasi – Markets and Social Policy</w:t>
            </w: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, MacMillan, London et al., 1993; 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Lindblom, Charles E.1959.”The Science of Muddling Through” in </w:t>
            </w:r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>Public Administration Review</w:t>
            </w:r>
          </w:p>
          <w:p w:rsidR="004E73D7" w:rsidRPr="004542CC" w:rsidRDefault="004E73D7" w:rsidP="004B0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Lindblom</w:t>
            </w:r>
            <w:proofErr w:type="gramStart"/>
            <w:r w:rsidRPr="004542CC">
              <w:rPr>
                <w:rFonts w:asciiTheme="minorHAnsi" w:hAnsiTheme="minorHAnsi" w:cs="Arial"/>
                <w:sz w:val="20"/>
                <w:szCs w:val="20"/>
              </w:rPr>
              <w:t>,Charles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.” The policy-Making Process”(Englewood Cliffs, </w:t>
            </w: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NJ:Prentice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Hall, 1980),p.26</w:t>
            </w:r>
          </w:p>
          <w:p w:rsidR="004E73D7" w:rsidRPr="004542CC" w:rsidRDefault="004E73D7" w:rsidP="004B0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Lowi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, Theodore </w:t>
            </w:r>
            <w:proofErr w:type="gramStart"/>
            <w:r w:rsidRPr="004542CC">
              <w:rPr>
                <w:rFonts w:asciiTheme="minorHAnsi" w:hAnsiTheme="minorHAnsi" w:cs="Arial"/>
                <w:sz w:val="20"/>
                <w:szCs w:val="20"/>
              </w:rPr>
              <w:t>J..</w:t>
            </w:r>
            <w:proofErr w:type="gram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1969.”The End of </w:t>
            </w: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Liberalism</w:t>
            </w:r>
            <w:proofErr w:type="gramStart"/>
            <w:r w:rsidRPr="004542CC">
              <w:rPr>
                <w:rFonts w:asciiTheme="minorHAnsi" w:hAnsiTheme="minorHAnsi" w:cs="Arial"/>
                <w:sz w:val="20"/>
                <w:szCs w:val="20"/>
              </w:rPr>
              <w:t>:Ideology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Policy,and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the Crisis of Public </w:t>
            </w: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Authoritz”.New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York.Holmes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and Meier.</w:t>
            </w:r>
          </w:p>
          <w:p w:rsidR="004E73D7" w:rsidRPr="004542CC" w:rsidRDefault="004E73D7" w:rsidP="004B0B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Arial"/>
                <w:sz w:val="20"/>
                <w:szCs w:val="20"/>
              </w:rPr>
              <w:t>MacRae</w:t>
            </w:r>
            <w:proofErr w:type="spellEnd"/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, Duncan.1979.”Concepts and Methods of Policy Analysis” </w:t>
            </w:r>
            <w:proofErr w:type="spellStart"/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>în</w:t>
            </w:r>
            <w:proofErr w:type="spellEnd"/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 xml:space="preserve"> Society no:16 din 1979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Migdal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Joel. 1987.”Strong States, Weak </w:t>
            </w:r>
            <w:proofErr w:type="spellStart"/>
            <w:r w:rsidRPr="004542CC">
              <w:rPr>
                <w:rFonts w:asciiTheme="minorHAnsi" w:hAnsiTheme="minorHAnsi" w:cs="Arial"/>
              </w:rPr>
              <w:t>States</w:t>
            </w:r>
            <w:proofErr w:type="gramStart"/>
            <w:r w:rsidRPr="004542CC">
              <w:rPr>
                <w:rFonts w:asciiTheme="minorHAnsi" w:hAnsiTheme="minorHAnsi" w:cs="Arial"/>
              </w:rPr>
              <w:t>:Power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4542CC">
              <w:rPr>
                <w:rFonts w:asciiTheme="minorHAnsi" w:hAnsiTheme="minorHAnsi" w:cs="Arial"/>
              </w:rPr>
              <w:t>Accomodation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”. In </w:t>
            </w:r>
            <w:proofErr w:type="spellStart"/>
            <w:r w:rsidRPr="004542CC">
              <w:rPr>
                <w:rFonts w:asciiTheme="minorHAnsi" w:hAnsiTheme="minorHAnsi" w:cs="Arial"/>
              </w:rPr>
              <w:t>volumul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“Understanding Political Development” </w:t>
            </w:r>
            <w:proofErr w:type="spellStart"/>
            <w:r w:rsidRPr="004542CC">
              <w:rPr>
                <w:rFonts w:asciiTheme="minorHAnsi" w:hAnsiTheme="minorHAnsi" w:cs="Arial"/>
              </w:rPr>
              <w:t>editat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de Myron Weiner </w:t>
            </w:r>
            <w:proofErr w:type="spellStart"/>
            <w:r w:rsidRPr="004542CC">
              <w:rPr>
                <w:rFonts w:asciiTheme="minorHAnsi" w:hAnsiTheme="minorHAnsi" w:cs="Arial"/>
              </w:rPr>
              <w:t>si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Samuel P. Huntington. Boston, Little, Brown and Co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Migdal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Joel.1988.”Strong Societies and Weak </w:t>
            </w:r>
            <w:proofErr w:type="spellStart"/>
            <w:r w:rsidRPr="004542CC">
              <w:rPr>
                <w:rFonts w:asciiTheme="minorHAnsi" w:hAnsiTheme="minorHAnsi" w:cs="Arial"/>
              </w:rPr>
              <w:t>States</w:t>
            </w:r>
            <w:proofErr w:type="gramStart"/>
            <w:r w:rsidRPr="004542CC">
              <w:rPr>
                <w:rFonts w:asciiTheme="minorHAnsi" w:hAnsiTheme="minorHAnsi" w:cs="Arial"/>
              </w:rPr>
              <w:t>:State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-Society Relations and State Capabilities in the Third </w:t>
            </w:r>
            <w:proofErr w:type="spellStart"/>
            <w:r w:rsidRPr="004542CC">
              <w:rPr>
                <w:rFonts w:asciiTheme="minorHAnsi" w:hAnsiTheme="minorHAnsi" w:cs="Arial"/>
              </w:rPr>
              <w:t>World”.Princeton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University Press. 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Nordlinger, Eric A.1987 “Taking the State Seriously”. In volumul “Understanding Political Development” editat de Myron Weiner si Samuel P. Huntington. Boston, Little, Brown and Co.  15. Peters, B. Guy, </w:t>
            </w:r>
            <w:r w:rsidRPr="004542CC">
              <w:rPr>
                <w:rFonts w:asciiTheme="minorHAnsi" w:hAnsiTheme="minorHAnsi" w:cs="Arial"/>
                <w:i/>
                <w:sz w:val="20"/>
                <w:szCs w:val="20"/>
              </w:rPr>
              <w:t>American Public Policy: Promise and performance</w:t>
            </w:r>
            <w:r w:rsidRPr="004542CC">
              <w:rPr>
                <w:rFonts w:asciiTheme="minorHAnsi" w:hAnsiTheme="minorHAnsi" w:cs="Arial"/>
                <w:sz w:val="20"/>
                <w:szCs w:val="20"/>
              </w:rPr>
              <w:t>, 2</w:t>
            </w:r>
            <w:r w:rsidRPr="004542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edition, Chatham House Publishers, Chatham NJ, 1986</w:t>
            </w:r>
          </w:p>
          <w:p w:rsidR="004E73D7" w:rsidRPr="004542CC" w:rsidRDefault="004E73D7" w:rsidP="004B0B3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542CC">
              <w:rPr>
                <w:rFonts w:asciiTheme="minorHAnsi" w:hAnsiTheme="minorHAnsi" w:cs="Arial"/>
                <w:sz w:val="20"/>
                <w:szCs w:val="20"/>
              </w:rPr>
              <w:t xml:space="preserve"> Quade, Edward S.1982.”Analysis for Public Decisions” New York:Elsevier Scientific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Rondinelli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Dennis A.1973. “Urban Planning as Policy </w:t>
            </w:r>
            <w:proofErr w:type="spellStart"/>
            <w:r w:rsidRPr="004542CC">
              <w:rPr>
                <w:rFonts w:asciiTheme="minorHAnsi" w:hAnsiTheme="minorHAnsi" w:cs="Arial"/>
              </w:rPr>
              <w:t>Analysis:Management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of Urban Change” in </w:t>
            </w:r>
            <w:proofErr w:type="spellStart"/>
            <w:r w:rsidRPr="004542CC">
              <w:rPr>
                <w:rFonts w:asciiTheme="minorHAnsi" w:hAnsiTheme="minorHAnsi" w:cs="Arial"/>
                <w:i/>
              </w:rPr>
              <w:t>Jounal</w:t>
            </w:r>
            <w:proofErr w:type="spellEnd"/>
            <w:r w:rsidRPr="004542CC">
              <w:rPr>
                <w:rFonts w:asciiTheme="minorHAnsi" w:hAnsiTheme="minorHAnsi" w:cs="Arial"/>
                <w:i/>
              </w:rPr>
              <w:t xml:space="preserve"> of the American Institute of Planners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Stepan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Alfred.1978.”The State and the </w:t>
            </w:r>
            <w:proofErr w:type="spellStart"/>
            <w:r w:rsidRPr="004542CC">
              <w:rPr>
                <w:rFonts w:asciiTheme="minorHAnsi" w:hAnsiTheme="minorHAnsi" w:cs="Arial"/>
              </w:rPr>
              <w:t>Society”.Princeton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University Press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Skocpol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Theda.1985.”Bringing the State Back </w:t>
            </w:r>
            <w:proofErr w:type="spellStart"/>
            <w:r w:rsidRPr="004542CC">
              <w:rPr>
                <w:rFonts w:asciiTheme="minorHAnsi" w:hAnsiTheme="minorHAnsi" w:cs="Arial"/>
              </w:rPr>
              <w:t>In</w:t>
            </w:r>
            <w:proofErr w:type="gramStart"/>
            <w:r w:rsidRPr="004542CC">
              <w:rPr>
                <w:rFonts w:asciiTheme="minorHAnsi" w:hAnsiTheme="minorHAnsi" w:cs="Arial"/>
              </w:rPr>
              <w:t>:Strategies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4542CC">
              <w:rPr>
                <w:rFonts w:asciiTheme="minorHAnsi" w:hAnsiTheme="minorHAnsi" w:cs="Arial"/>
              </w:rPr>
              <w:t>anlysis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in Current </w:t>
            </w:r>
            <w:proofErr w:type="spellStart"/>
            <w:r w:rsidRPr="004542CC">
              <w:rPr>
                <w:rFonts w:asciiTheme="minorHAnsi" w:hAnsiTheme="minorHAnsi" w:cs="Arial"/>
              </w:rPr>
              <w:t>Research”Involumul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“Bringing the State Back In” </w:t>
            </w:r>
            <w:proofErr w:type="spellStart"/>
            <w:r w:rsidRPr="004542CC">
              <w:rPr>
                <w:rFonts w:asciiTheme="minorHAnsi" w:hAnsiTheme="minorHAnsi" w:cs="Arial"/>
              </w:rPr>
              <w:t>editat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de Peter B. Evans, Dietrich </w:t>
            </w:r>
            <w:proofErr w:type="spellStart"/>
            <w:r w:rsidRPr="004542CC">
              <w:rPr>
                <w:rFonts w:asciiTheme="minorHAnsi" w:hAnsiTheme="minorHAnsi" w:cs="Arial"/>
              </w:rPr>
              <w:t>Rueschemeyersi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Arial"/>
              </w:rPr>
              <w:t>Theda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Arial"/>
              </w:rPr>
              <w:t>Skocpol</w:t>
            </w:r>
            <w:proofErr w:type="spellEnd"/>
            <w:r w:rsidRPr="004542CC">
              <w:rPr>
                <w:rFonts w:asciiTheme="minorHAnsi" w:hAnsiTheme="minorHAnsi" w:cs="Arial"/>
              </w:rPr>
              <w:t>. Cambridge University Press.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Sabatier, Paul A. 1999.”Theoretical Lenses on Public Policy”. Westview Press. 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 Stone, Deborah.1988.”Policy </w:t>
            </w:r>
            <w:proofErr w:type="spellStart"/>
            <w:r w:rsidRPr="004542CC">
              <w:rPr>
                <w:rFonts w:asciiTheme="minorHAnsi" w:hAnsiTheme="minorHAnsi" w:cs="Arial"/>
              </w:rPr>
              <w:t>Paradox</w:t>
            </w:r>
            <w:proofErr w:type="gramStart"/>
            <w:r w:rsidRPr="004542CC">
              <w:rPr>
                <w:rFonts w:asciiTheme="minorHAnsi" w:hAnsiTheme="minorHAnsi" w:cs="Arial"/>
              </w:rPr>
              <w:t>:the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art of political decision making”. </w:t>
            </w:r>
            <w:proofErr w:type="spellStart"/>
            <w:r w:rsidRPr="004542CC">
              <w:rPr>
                <w:rFonts w:asciiTheme="minorHAnsi" w:hAnsiTheme="minorHAnsi" w:cs="Arial"/>
              </w:rPr>
              <w:t>W.W.Norton&amp;Company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New York. 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lang w:val="fr-FR"/>
              </w:rPr>
            </w:pPr>
            <w:proofErr w:type="spellStart"/>
            <w:r w:rsidRPr="004542CC">
              <w:rPr>
                <w:rFonts w:asciiTheme="minorHAnsi" w:hAnsiTheme="minorHAnsi" w:cs="Arial"/>
                <w:lang w:val="fr-FR"/>
              </w:rPr>
              <w:t>Thoenig</w:t>
            </w:r>
            <w:proofErr w:type="spellEnd"/>
            <w:r w:rsidRPr="004542CC">
              <w:rPr>
                <w:rFonts w:asciiTheme="minorHAnsi" w:hAnsiTheme="minorHAnsi" w:cs="Arial"/>
                <w:lang w:val="fr-FR"/>
              </w:rPr>
              <w:t xml:space="preserve">, Jean-Claude. In “Traite de Science Politique” </w:t>
            </w:r>
            <w:proofErr w:type="spellStart"/>
            <w:r w:rsidRPr="004542CC">
              <w:rPr>
                <w:rFonts w:asciiTheme="minorHAnsi" w:hAnsiTheme="minorHAnsi" w:cs="Arial"/>
                <w:lang w:val="fr-FR"/>
              </w:rPr>
              <w:t>coordonat</w:t>
            </w:r>
            <w:proofErr w:type="spellEnd"/>
            <w:r w:rsidRPr="004542CC">
              <w:rPr>
                <w:rFonts w:asciiTheme="minorHAnsi" w:hAnsiTheme="minorHAnsi" w:cs="Arial"/>
                <w:lang w:val="fr-FR"/>
              </w:rPr>
              <w:t xml:space="preserve"> de M. </w:t>
            </w:r>
            <w:proofErr w:type="spellStart"/>
            <w:r w:rsidRPr="004542CC">
              <w:rPr>
                <w:rFonts w:asciiTheme="minorHAnsi" w:hAnsiTheme="minorHAnsi" w:cs="Arial"/>
                <w:lang w:val="fr-FR"/>
              </w:rPr>
              <w:t>Grawitzşi</w:t>
            </w:r>
            <w:proofErr w:type="spellEnd"/>
            <w:r w:rsidRPr="004542CC">
              <w:rPr>
                <w:rFonts w:asciiTheme="minorHAnsi" w:hAnsiTheme="minorHAnsi" w:cs="Arial"/>
                <w:lang w:val="fr-FR"/>
              </w:rPr>
              <w:t xml:space="preserve"> Jean </w:t>
            </w:r>
            <w:proofErr w:type="spellStart"/>
            <w:r w:rsidRPr="004542CC">
              <w:rPr>
                <w:rFonts w:asciiTheme="minorHAnsi" w:hAnsiTheme="minorHAnsi" w:cs="Arial"/>
                <w:lang w:val="fr-FR"/>
              </w:rPr>
              <w:t>Lecca</w:t>
            </w:r>
            <w:proofErr w:type="spellEnd"/>
            <w:r w:rsidRPr="004542CC">
              <w:rPr>
                <w:rFonts w:asciiTheme="minorHAnsi" w:hAnsiTheme="minorHAnsi" w:cs="Arial"/>
                <w:lang w:val="fr-FR"/>
              </w:rPr>
              <w:t xml:space="preserve">, </w:t>
            </w:r>
            <w:proofErr w:type="spellStart"/>
            <w:r w:rsidRPr="004542CC">
              <w:rPr>
                <w:rFonts w:asciiTheme="minorHAnsi" w:hAnsiTheme="minorHAnsi" w:cs="Arial"/>
                <w:lang w:val="fr-FR"/>
              </w:rPr>
              <w:t>vol.IV</w:t>
            </w:r>
            <w:proofErr w:type="spellEnd"/>
            <w:r w:rsidRPr="004542CC">
              <w:rPr>
                <w:rFonts w:asciiTheme="minorHAnsi" w:hAnsiTheme="minorHAnsi" w:cs="Arial"/>
                <w:lang w:val="fr-FR"/>
              </w:rPr>
              <w:t>. PUF 1992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Ukeles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Jacob B.1977.”Policy </w:t>
            </w:r>
            <w:proofErr w:type="spellStart"/>
            <w:r w:rsidRPr="004542CC">
              <w:rPr>
                <w:rFonts w:asciiTheme="minorHAnsi" w:hAnsiTheme="minorHAnsi" w:cs="Arial"/>
              </w:rPr>
              <w:t>Analysis</w:t>
            </w:r>
            <w:proofErr w:type="gramStart"/>
            <w:r w:rsidRPr="004542CC">
              <w:rPr>
                <w:rFonts w:asciiTheme="minorHAnsi" w:hAnsiTheme="minorHAnsi" w:cs="Arial"/>
              </w:rPr>
              <w:t>:Myth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or Reality?” </w:t>
            </w:r>
            <w:proofErr w:type="spellStart"/>
            <w:r w:rsidRPr="004542CC">
              <w:rPr>
                <w:rFonts w:asciiTheme="minorHAnsi" w:hAnsiTheme="minorHAnsi" w:cs="Arial"/>
              </w:rPr>
              <w:t>în</w:t>
            </w:r>
            <w:r w:rsidRPr="004542CC">
              <w:rPr>
                <w:rFonts w:asciiTheme="minorHAnsi" w:hAnsiTheme="minorHAnsi" w:cs="Arial"/>
                <w:i/>
              </w:rPr>
              <w:t>Public</w:t>
            </w:r>
            <w:proofErr w:type="spellEnd"/>
            <w:r w:rsidRPr="004542CC">
              <w:rPr>
                <w:rFonts w:asciiTheme="minorHAnsi" w:hAnsiTheme="minorHAnsi" w:cs="Arial"/>
                <w:i/>
              </w:rPr>
              <w:t xml:space="preserve"> Administration Review</w:t>
            </w:r>
            <w:r w:rsidRPr="004542CC">
              <w:rPr>
                <w:rFonts w:asciiTheme="minorHAnsi" w:hAnsiTheme="minorHAnsi" w:cs="Arial"/>
              </w:rPr>
              <w:t xml:space="preserve"> no:37 din 1977.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Weimer, David L. </w:t>
            </w:r>
            <w:proofErr w:type="spellStart"/>
            <w:r w:rsidRPr="004542CC">
              <w:rPr>
                <w:rFonts w:asciiTheme="minorHAnsi" w:hAnsiTheme="minorHAnsi" w:cs="Arial"/>
              </w:rPr>
              <w:t>şi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Arial"/>
              </w:rPr>
              <w:t>Vining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Aidan R.1989.”Policy </w:t>
            </w:r>
            <w:proofErr w:type="spellStart"/>
            <w:r w:rsidRPr="004542CC">
              <w:rPr>
                <w:rFonts w:asciiTheme="minorHAnsi" w:hAnsiTheme="minorHAnsi" w:cs="Arial"/>
              </w:rPr>
              <w:t>Analysis</w:t>
            </w:r>
            <w:proofErr w:type="gramStart"/>
            <w:r w:rsidRPr="004542CC">
              <w:rPr>
                <w:rFonts w:asciiTheme="minorHAnsi" w:hAnsiTheme="minorHAnsi" w:cs="Arial"/>
              </w:rPr>
              <w:t>:Concepts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and Practice” Englewood Cliffs </w:t>
            </w:r>
            <w:proofErr w:type="spellStart"/>
            <w:r w:rsidRPr="004542CC">
              <w:rPr>
                <w:rFonts w:asciiTheme="minorHAnsi" w:hAnsiTheme="minorHAnsi" w:cs="Arial"/>
              </w:rPr>
              <w:t>NJ:Prentice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Hall.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Williams, Walter.1971.”Social Policy research and </w:t>
            </w:r>
            <w:proofErr w:type="spellStart"/>
            <w:r w:rsidRPr="004542CC">
              <w:rPr>
                <w:rFonts w:asciiTheme="minorHAnsi" w:hAnsiTheme="minorHAnsi" w:cs="Arial"/>
              </w:rPr>
              <w:t>Analysis:the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experience in the Federal Social </w:t>
            </w:r>
            <w:proofErr w:type="spellStart"/>
            <w:r w:rsidRPr="004542CC">
              <w:rPr>
                <w:rFonts w:asciiTheme="minorHAnsi" w:hAnsiTheme="minorHAnsi" w:cs="Arial"/>
              </w:rPr>
              <w:t>Agencies”.New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York: American Elsevier 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Wildavschy</w:t>
            </w:r>
            <w:proofErr w:type="spellEnd"/>
            <w:r w:rsidRPr="004542CC">
              <w:rPr>
                <w:rFonts w:asciiTheme="minorHAnsi" w:hAnsiTheme="minorHAnsi" w:cs="Arial"/>
              </w:rPr>
              <w:t>, Aaron.1975.”</w:t>
            </w:r>
            <w:proofErr w:type="spellStart"/>
            <w:r w:rsidRPr="004542CC">
              <w:rPr>
                <w:rFonts w:asciiTheme="minorHAnsi" w:hAnsiTheme="minorHAnsi" w:cs="Arial"/>
              </w:rPr>
              <w:t>Budgeting</w:t>
            </w:r>
            <w:proofErr w:type="gramStart"/>
            <w:r w:rsidRPr="004542CC">
              <w:rPr>
                <w:rFonts w:asciiTheme="minorHAnsi" w:hAnsiTheme="minorHAnsi" w:cs="Arial"/>
              </w:rPr>
              <w:t>:A</w:t>
            </w:r>
            <w:proofErr w:type="spellEnd"/>
            <w:proofErr w:type="gramEnd"/>
            <w:r w:rsidRPr="004542CC">
              <w:rPr>
                <w:rFonts w:asciiTheme="minorHAnsi" w:hAnsiTheme="minorHAnsi" w:cs="Arial"/>
              </w:rPr>
              <w:t xml:space="preserve"> Comparative Theory of Budgetary </w:t>
            </w:r>
            <w:proofErr w:type="spellStart"/>
            <w:r w:rsidRPr="004542CC">
              <w:rPr>
                <w:rFonts w:asciiTheme="minorHAnsi" w:hAnsiTheme="minorHAnsi" w:cs="Arial"/>
              </w:rPr>
              <w:t>Processes”.Boston</w:t>
            </w:r>
            <w:proofErr w:type="spellEnd"/>
            <w:r w:rsidRPr="004542CC">
              <w:rPr>
                <w:rFonts w:asciiTheme="minorHAnsi" w:hAnsiTheme="minorHAnsi" w:cs="Arial"/>
              </w:rPr>
              <w:t>. Little, Brown.</w:t>
            </w:r>
          </w:p>
          <w:p w:rsidR="004E73D7" w:rsidRPr="004542CC" w:rsidRDefault="004E73D7" w:rsidP="004B0B39">
            <w:pPr>
              <w:pStyle w:val="FootnoteText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proofErr w:type="spellStart"/>
            <w:r w:rsidRPr="004542CC">
              <w:rPr>
                <w:rFonts w:asciiTheme="minorHAnsi" w:hAnsiTheme="minorHAnsi" w:cs="Arial"/>
              </w:rPr>
              <w:t>Wildavschy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, Aaron.1979.”Speaking </w:t>
            </w:r>
            <w:proofErr w:type="spellStart"/>
            <w:r w:rsidRPr="004542CC">
              <w:rPr>
                <w:rFonts w:asciiTheme="minorHAnsi" w:hAnsiTheme="minorHAnsi" w:cs="Arial"/>
              </w:rPr>
              <w:t>Trouth</w:t>
            </w:r>
            <w:proofErr w:type="spellEnd"/>
            <w:r w:rsidRPr="004542CC">
              <w:rPr>
                <w:rFonts w:asciiTheme="minorHAnsi" w:hAnsiTheme="minorHAnsi" w:cs="Arial"/>
              </w:rPr>
              <w:t xml:space="preserve"> to Power. The Art and Craft of Policy </w:t>
            </w:r>
            <w:proofErr w:type="spellStart"/>
            <w:r w:rsidRPr="004542CC">
              <w:rPr>
                <w:rFonts w:asciiTheme="minorHAnsi" w:hAnsiTheme="minorHAnsi" w:cs="Arial"/>
              </w:rPr>
              <w:t>Analysis”Boston</w:t>
            </w:r>
            <w:proofErr w:type="spellEnd"/>
            <w:r w:rsidRPr="004542CC">
              <w:rPr>
                <w:rFonts w:asciiTheme="minorHAnsi" w:hAnsiTheme="minorHAnsi" w:cs="Arial"/>
              </w:rPr>
              <w:t>. Little, Brown.</w:t>
            </w:r>
          </w:p>
          <w:p w:rsidR="004E73D7" w:rsidRPr="004542CC" w:rsidRDefault="004E73D7" w:rsidP="004B0B39">
            <w:pPr>
              <w:pStyle w:val="FootnoteText"/>
              <w:ind w:left="360"/>
              <w:jc w:val="both"/>
              <w:rPr>
                <w:rFonts w:asciiTheme="minorHAnsi" w:hAnsiTheme="minorHAnsi" w:cs="Arial"/>
              </w:rPr>
            </w:pPr>
            <w:r w:rsidRPr="004542CC">
              <w:rPr>
                <w:rFonts w:asciiTheme="minorHAnsi" w:hAnsiTheme="minorHAnsi" w:cs="Arial"/>
              </w:rPr>
              <w:t xml:space="preserve">USAID – Implementing policy change series http://www.usaid.gov/democracy/ipcindex.html </w:t>
            </w:r>
          </w:p>
          <w:p w:rsidR="004E73D7" w:rsidRPr="004542CC" w:rsidRDefault="004E73D7" w:rsidP="004B0B3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E73D7" w:rsidRPr="004542CC" w:rsidRDefault="004E73D7" w:rsidP="004B0B39">
            <w:pPr>
              <w:pStyle w:val="FootnoteText"/>
              <w:ind w:left="360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4542CC">
              <w:rPr>
                <w:rFonts w:asciiTheme="minorHAnsi" w:hAnsiTheme="minorHAnsi" w:cs="Arial"/>
                <w:b/>
              </w:rPr>
              <w:t>Bibliografie</w:t>
            </w:r>
            <w:proofErr w:type="spellEnd"/>
            <w:r w:rsidRPr="004542CC">
              <w:rPr>
                <w:rFonts w:asciiTheme="minorHAnsi" w:hAnsiTheme="minorHAnsi" w:cs="Arial"/>
                <w:b/>
              </w:rPr>
              <w:t>:</w:t>
            </w:r>
          </w:p>
          <w:p w:rsidR="004E73D7" w:rsidRPr="004542CC" w:rsidRDefault="004E73D7" w:rsidP="004B0B39">
            <w:pPr>
              <w:pStyle w:val="FootnoteText"/>
              <w:ind w:left="360"/>
              <w:jc w:val="both"/>
              <w:rPr>
                <w:rFonts w:asciiTheme="minorHAnsi" w:hAnsiTheme="minorHAnsi" w:cs="Arial"/>
              </w:rPr>
            </w:pPr>
          </w:p>
          <w:p w:rsidR="00934EB8" w:rsidRPr="004542CC" w:rsidRDefault="00934EB8" w:rsidP="004B0B39">
            <w:pPr>
              <w:spacing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***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Lambru</w:t>
            </w:r>
            <w:proofErr w:type="spellEnd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Mihaela</w:t>
            </w:r>
            <w:r w:rsidRPr="004542CC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PoliticiPublice</w:t>
            </w:r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Universitatea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Bucureşti,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Facultatea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Sociologie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şiAsistenţăSocială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Master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AdministraţiePublică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, 2004</w:t>
            </w:r>
            <w:proofErr w:type="gram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,2005,2006,2007</w:t>
            </w:r>
            <w:proofErr w:type="gram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Manual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suport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curs</w:t>
            </w:r>
            <w:hyperlink r:id="rId5" w:history="1">
              <w:r w:rsidRPr="004542CC">
                <w:rPr>
                  <w:rStyle w:val="Hyperlink"/>
                  <w:rFonts w:asciiTheme="minorHAnsi" w:hAnsiTheme="minorHAnsi"/>
                  <w:sz w:val="20"/>
                  <w:szCs w:val="20"/>
                  <w:lang w:val="fr-FR"/>
                </w:rPr>
                <w:t>www.sas.unibuc.ro</w:t>
              </w:r>
            </w:hyperlink>
          </w:p>
          <w:p w:rsidR="00934EB8" w:rsidRPr="004542CC" w:rsidRDefault="00934EB8" w:rsidP="004B0B39">
            <w:pPr>
              <w:spacing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34EB8" w:rsidRPr="004542CC" w:rsidRDefault="00934EB8" w:rsidP="004B0B39">
            <w:pPr>
              <w:spacing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***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Lambru</w:t>
            </w:r>
            <w:proofErr w:type="spellEnd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Mihaela</w:t>
            </w:r>
            <w:r w:rsidRPr="004542CC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PoliticiPubliceşiAdministraţie</w:t>
            </w:r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Universitatea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Bucureşti,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Facultatea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Sociologie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şiAsistenţăSocială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Master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AdministraţiePublică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2007 –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Manual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>suport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curs</w:t>
            </w:r>
            <w:hyperlink r:id="rId6" w:history="1">
              <w:r w:rsidRPr="004542CC">
                <w:rPr>
                  <w:rStyle w:val="Hyperlink"/>
                  <w:rFonts w:asciiTheme="minorHAnsi" w:hAnsiTheme="minorHAnsi"/>
                  <w:sz w:val="20"/>
                  <w:szCs w:val="20"/>
                  <w:lang w:val="fr-FR"/>
                </w:rPr>
                <w:t>www.sas.unibuc.ro</w:t>
              </w:r>
            </w:hyperlink>
          </w:p>
          <w:p w:rsidR="00934EB8" w:rsidRPr="004542CC" w:rsidRDefault="00934EB8" w:rsidP="004B0B39">
            <w:pPr>
              <w:spacing w:line="240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34EB8" w:rsidRPr="004542CC" w:rsidRDefault="00934EB8" w:rsidP="004B0B39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line="240" w:lineRule="auto"/>
              <w:ind w:left="720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***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Lambru</w:t>
            </w:r>
            <w:proofErr w:type="spellEnd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Mihaela</w:t>
            </w:r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PoliticiPublice</w:t>
            </w:r>
            <w:proofErr w:type="spellEnd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pentruanalişti</w:t>
            </w:r>
            <w:proofErr w:type="spellEnd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din </w:t>
            </w:r>
            <w:proofErr w:type="spellStart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administrţiapublicăcentrală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InstitutulNaţional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Administraţie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2007.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Prinprogramul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“</w:t>
            </w:r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Strengthening the National Institute of Administration and Regional Training Centers’ capacity for developing a corps of Professional Civil Servants” , </w:t>
            </w:r>
            <w:proofErr w:type="spellStart"/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>Phare</w:t>
            </w:r>
            <w:proofErr w:type="spellEnd"/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 RO 2004/016-772.01.03.01.01</w:t>
            </w:r>
          </w:p>
          <w:p w:rsidR="00934EB8" w:rsidRPr="004542CC" w:rsidRDefault="00934EB8" w:rsidP="004B0B39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line="240" w:lineRule="auto"/>
              <w:ind w:left="720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</w:p>
          <w:p w:rsidR="00934EB8" w:rsidRPr="004542CC" w:rsidRDefault="00934EB8" w:rsidP="004B0B39">
            <w:pPr>
              <w:tabs>
                <w:tab w:val="left" w:pos="-1191"/>
                <w:tab w:val="left" w:pos="-340"/>
                <w:tab w:val="left" w:pos="511"/>
                <w:tab w:val="left" w:pos="1362"/>
                <w:tab w:val="left" w:pos="2212"/>
                <w:tab w:val="left" w:pos="2437"/>
                <w:tab w:val="left" w:pos="3063"/>
                <w:tab w:val="left" w:pos="3914"/>
                <w:tab w:val="left" w:pos="4765"/>
                <w:tab w:val="left" w:pos="5616"/>
                <w:tab w:val="left" w:pos="6466"/>
                <w:tab w:val="left" w:pos="7317"/>
                <w:tab w:val="left" w:pos="8168"/>
                <w:tab w:val="left" w:pos="9019"/>
                <w:tab w:val="left" w:pos="9870"/>
                <w:tab w:val="left" w:pos="10720"/>
                <w:tab w:val="left" w:pos="11571"/>
                <w:tab w:val="left" w:pos="12422"/>
                <w:tab w:val="left" w:pos="13273"/>
                <w:tab w:val="left" w:pos="14124"/>
              </w:tabs>
              <w:spacing w:line="240" w:lineRule="auto"/>
              <w:ind w:left="720"/>
              <w:jc w:val="both"/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</w:pPr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***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Lambru</w:t>
            </w:r>
            <w:proofErr w:type="spellEnd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b/>
                <w:bCs/>
                <w:iCs/>
                <w:spacing w:val="-2"/>
                <w:sz w:val="20"/>
                <w:szCs w:val="20"/>
              </w:rPr>
              <w:t>Mihaela</w:t>
            </w:r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PoliticiPublice</w:t>
            </w:r>
            <w:proofErr w:type="spellEnd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4542CC">
              <w:rPr>
                <w:rFonts w:asciiTheme="minorHAnsi" w:hAnsiTheme="minorHAnsi"/>
                <w:i/>
                <w:spacing w:val="-2"/>
                <w:sz w:val="20"/>
                <w:szCs w:val="20"/>
              </w:rPr>
              <w:t>pentruinaltifuncţionari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InstitutulNaţional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Administraţie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2007. </w:t>
            </w:r>
            <w:proofErr w:type="spellStart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Prinprogramul</w:t>
            </w:r>
            <w:proofErr w:type="spellEnd"/>
            <w:r w:rsidRPr="004542CC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 xml:space="preserve"> “</w:t>
            </w:r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Strengthening the National Institute of Administration and Regional Training Centers’ capacity for developing a corps of Professional Civil Servants” , </w:t>
            </w:r>
            <w:proofErr w:type="spellStart"/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>Phare</w:t>
            </w:r>
            <w:proofErr w:type="spellEnd"/>
            <w:r w:rsidRPr="004542CC">
              <w:rPr>
                <w:rFonts w:asciiTheme="minorHAnsi" w:eastAsia="SimSun" w:hAnsiTheme="minorHAnsi"/>
                <w:iCs/>
                <w:sz w:val="20"/>
                <w:szCs w:val="20"/>
                <w:lang w:eastAsia="zh-CN"/>
              </w:rPr>
              <w:t xml:space="preserve"> RO 2004/016-772.01.03.01.01</w:t>
            </w:r>
          </w:p>
          <w:p w:rsidR="00934EB8" w:rsidRPr="004542CC" w:rsidRDefault="00934EB8" w:rsidP="004B0B39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USAID–Implementing policy change series </w:t>
            </w:r>
            <w:hyperlink r:id="rId7" w:history="1">
              <w:r w:rsidRPr="004542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http://www.usaid.gov/democracy/ipcindex.html</w:t>
              </w:r>
            </w:hyperlink>
          </w:p>
          <w:p w:rsidR="00934EB8" w:rsidRPr="004542CC" w:rsidRDefault="00934EB8" w:rsidP="004B0B39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542CC">
              <w:rPr>
                <w:rFonts w:asciiTheme="minorHAnsi" w:hAnsiTheme="minorHAnsi"/>
                <w:sz w:val="20"/>
                <w:szCs w:val="20"/>
                <w:lang w:val="it-IT"/>
              </w:rPr>
              <w:t>Diverse strategii guvernamentale şi legislaţie din România, legislaţie europeană.</w:t>
            </w:r>
          </w:p>
          <w:p w:rsidR="00934EB8" w:rsidRPr="004542CC" w:rsidRDefault="00934EB8" w:rsidP="004B0B39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34EB8" w:rsidRPr="004542CC" w:rsidRDefault="00934EB8" w:rsidP="00934E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934EB8" w:rsidRPr="004542CC" w:rsidRDefault="00934EB8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3A3350" w:rsidRPr="004542CC" w:rsidTr="00C504BE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3A3350" w:rsidRPr="004542CC" w:rsidRDefault="003A3350" w:rsidP="009334C9">
            <w:pPr>
              <w:pStyle w:val="ListParagraph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3A3350" w:rsidRPr="004542CC" w:rsidTr="00C504BE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3A3350" w:rsidRPr="004542CC" w:rsidRDefault="003A3350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="004B0B39">
              <w:rPr>
                <w:rFonts w:asciiTheme="minorHAnsi" w:hAnsiTheme="minorHAnsi"/>
                <w:b/>
                <w:sz w:val="20"/>
                <w:szCs w:val="20"/>
              </w:rPr>
              <w:t xml:space="preserve"> afferent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3A3350" w:rsidRPr="004542CC" w:rsidTr="00C504BE">
        <w:trPr>
          <w:trHeight w:val="713"/>
        </w:trPr>
        <w:tc>
          <w:tcPr>
            <w:tcW w:w="9828" w:type="dxa"/>
          </w:tcPr>
          <w:p w:rsidR="003A3350" w:rsidRPr="004542CC" w:rsidRDefault="009334C9" w:rsidP="0093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orientată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practica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cazuistica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specialitate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astfel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incat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absolventii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pregatiti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atat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/epistemic, cat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sipractic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3A3350" w:rsidRPr="004542CC" w:rsidTr="00C504BE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42CC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3A3350" w:rsidRPr="004542CC" w:rsidTr="00C504BE">
        <w:trPr>
          <w:trHeight w:val="190"/>
          <w:jc w:val="center"/>
        </w:trPr>
        <w:tc>
          <w:tcPr>
            <w:tcW w:w="2088" w:type="dxa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Pondere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din nota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3A3350" w:rsidRPr="004542CC" w:rsidTr="00C504BE">
        <w:trPr>
          <w:trHeight w:val="455"/>
          <w:jc w:val="center"/>
        </w:trPr>
        <w:tc>
          <w:tcPr>
            <w:tcW w:w="2088" w:type="dxa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3A3350" w:rsidRPr="004542CC" w:rsidRDefault="009334C9" w:rsidP="00C504B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3A3350" w:rsidRPr="004542CC" w:rsidRDefault="009334C9" w:rsidP="00C504BE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Raport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politicăpublică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realizat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echipă</w:t>
            </w:r>
            <w:proofErr w:type="spellEnd"/>
          </w:p>
          <w:p w:rsidR="009334C9" w:rsidRPr="004542CC" w:rsidRDefault="009334C9" w:rsidP="00C504BE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Prezentă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1440" w:type="dxa"/>
          </w:tcPr>
          <w:p w:rsidR="003A3350" w:rsidRPr="004542CC" w:rsidRDefault="009334C9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9334C9" w:rsidRPr="004542CC" w:rsidRDefault="009334C9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</w:tr>
      <w:tr w:rsidR="003A3350" w:rsidRPr="004542CC" w:rsidTr="00C504BE">
        <w:trPr>
          <w:trHeight w:val="548"/>
          <w:jc w:val="center"/>
        </w:trPr>
        <w:tc>
          <w:tcPr>
            <w:tcW w:w="2088" w:type="dxa"/>
            <w:vAlign w:val="center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3A3350" w:rsidRPr="004542CC" w:rsidRDefault="003A3350" w:rsidP="00C504BE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170"/>
          <w:jc w:val="center"/>
        </w:trPr>
        <w:tc>
          <w:tcPr>
            <w:tcW w:w="9828" w:type="dxa"/>
            <w:gridSpan w:val="4"/>
          </w:tcPr>
          <w:p w:rsidR="003A3350" w:rsidRPr="004542CC" w:rsidRDefault="003A3350" w:rsidP="00C504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3A3350" w:rsidRPr="004542CC" w:rsidTr="00C504BE">
        <w:trPr>
          <w:trHeight w:val="471"/>
          <w:jc w:val="center"/>
        </w:trPr>
        <w:tc>
          <w:tcPr>
            <w:tcW w:w="9828" w:type="dxa"/>
            <w:gridSpan w:val="4"/>
          </w:tcPr>
          <w:p w:rsidR="003A3350" w:rsidRPr="004542CC" w:rsidRDefault="00C45F9B" w:rsidP="003A335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542CC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4542CC">
        <w:rPr>
          <w:rFonts w:asciiTheme="minorHAnsi" w:hAnsiTheme="minorHAnsi"/>
          <w:sz w:val="20"/>
          <w:szCs w:val="20"/>
        </w:rPr>
        <w:t>completarii</w:t>
      </w:r>
      <w:proofErr w:type="spellEnd"/>
      <w:r w:rsidRPr="004542CC">
        <w:rPr>
          <w:rFonts w:asciiTheme="minorHAnsi" w:hAnsiTheme="minorHAnsi"/>
          <w:sz w:val="20"/>
          <w:szCs w:val="20"/>
        </w:rPr>
        <w:tab/>
      </w:r>
      <w:r w:rsidRPr="004542CC">
        <w:rPr>
          <w:rFonts w:asciiTheme="minorHAnsi" w:hAnsiTheme="minorHAnsi"/>
          <w:sz w:val="20"/>
          <w:szCs w:val="20"/>
        </w:rPr>
        <w:tab/>
      </w:r>
      <w:r w:rsidRPr="004542CC">
        <w:rPr>
          <w:rFonts w:asciiTheme="minorHAnsi" w:hAnsiTheme="minorHAnsi"/>
          <w:sz w:val="20"/>
          <w:szCs w:val="20"/>
        </w:rPr>
        <w:tab/>
      </w:r>
      <w:proofErr w:type="spellStart"/>
      <w:r w:rsidRPr="004542CC">
        <w:rPr>
          <w:rFonts w:asciiTheme="minorHAnsi" w:hAnsiTheme="minorHAnsi"/>
          <w:sz w:val="20"/>
          <w:szCs w:val="20"/>
        </w:rPr>
        <w:t>Semnatura</w:t>
      </w:r>
      <w:proofErr w:type="spellEnd"/>
      <w:r w:rsidRPr="004542CC">
        <w:rPr>
          <w:rFonts w:asciiTheme="minorHAnsi" w:hAnsiTheme="minorHAnsi"/>
          <w:sz w:val="20"/>
          <w:szCs w:val="20"/>
        </w:rPr>
        <w:t xml:space="preserve"> titular curs</w:t>
      </w:r>
      <w:r w:rsidRPr="004542CC">
        <w:rPr>
          <w:rFonts w:asciiTheme="minorHAnsi" w:hAnsiTheme="minorHAnsi"/>
          <w:sz w:val="20"/>
          <w:szCs w:val="20"/>
        </w:rPr>
        <w:tab/>
      </w:r>
      <w:r w:rsidRPr="004542CC">
        <w:rPr>
          <w:rFonts w:asciiTheme="minorHAnsi" w:hAnsiTheme="minorHAnsi"/>
          <w:sz w:val="20"/>
          <w:szCs w:val="20"/>
        </w:rPr>
        <w:tab/>
      </w:r>
      <w:proofErr w:type="spellStart"/>
      <w:r w:rsidRPr="004542CC">
        <w:rPr>
          <w:rFonts w:asciiTheme="minorHAnsi" w:hAnsiTheme="minorHAnsi"/>
          <w:sz w:val="20"/>
          <w:szCs w:val="20"/>
        </w:rPr>
        <w:t>Semnatura</w:t>
      </w:r>
      <w:proofErr w:type="spellEnd"/>
      <w:r w:rsidR="004B0B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542CC">
        <w:rPr>
          <w:rFonts w:asciiTheme="minorHAnsi" w:hAnsiTheme="minorHAnsi"/>
          <w:sz w:val="20"/>
          <w:szCs w:val="20"/>
        </w:rPr>
        <w:t>titularului</w:t>
      </w:r>
      <w:proofErr w:type="spellEnd"/>
      <w:r w:rsidRPr="004542CC">
        <w:rPr>
          <w:rFonts w:asciiTheme="minorHAnsi" w:hAnsiTheme="minorHAnsi"/>
          <w:sz w:val="20"/>
          <w:szCs w:val="20"/>
        </w:rPr>
        <w:t xml:space="preserve"> de seminar</w:t>
      </w:r>
    </w:p>
    <w:p w:rsidR="003A3350" w:rsidRPr="004542CC" w:rsidRDefault="004B0B39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01.03.2019</w:t>
      </w:r>
    </w:p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3" w:name="page4"/>
      <w:bookmarkEnd w:id="3"/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Theme="minorHAnsi" w:hAnsiTheme="minorHAnsi"/>
          <w:sz w:val="20"/>
          <w:szCs w:val="20"/>
        </w:rPr>
      </w:pPr>
      <w:bookmarkStart w:id="4" w:name="page5"/>
      <w:bookmarkEnd w:id="4"/>
      <w:r w:rsidRPr="004542CC">
        <w:rPr>
          <w:rFonts w:asciiTheme="minorHAnsi" w:hAnsiTheme="minorHAnsi" w:cs="Calibri"/>
          <w:b/>
          <w:bCs/>
          <w:sz w:val="20"/>
          <w:szCs w:val="20"/>
        </w:rPr>
        <w:t>ANEXĂ LA FIŞA DISCIPLINEI</w:t>
      </w: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542CC">
        <w:rPr>
          <w:rFonts w:asciiTheme="minorHAnsi" w:hAnsiTheme="minorHAnsi"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4542C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542C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542CC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4542CC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4542CC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3A3350" w:rsidRPr="004542CC" w:rsidTr="00C504BE">
        <w:trPr>
          <w:trHeight w:val="300"/>
        </w:trPr>
        <w:tc>
          <w:tcPr>
            <w:tcW w:w="2447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3"/>
        </w:trPr>
        <w:tc>
          <w:tcPr>
            <w:tcW w:w="2447" w:type="dxa"/>
            <w:vMerge w:val="restart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3A3350" w:rsidRPr="004542CC" w:rsidRDefault="004524A4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4524A4" w:rsidRPr="004542CC" w:rsidRDefault="004524A4" w:rsidP="004524A4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Raport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politică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publică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realizat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individual</w:t>
            </w:r>
          </w:p>
          <w:p w:rsidR="003A3350" w:rsidRPr="004542CC" w:rsidRDefault="004524A4" w:rsidP="004524A4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Prezentă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4B0B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2398" w:type="dxa"/>
            <w:vMerge w:val="restart"/>
          </w:tcPr>
          <w:p w:rsidR="003A3350" w:rsidRPr="004542CC" w:rsidRDefault="004524A4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4524A4" w:rsidRPr="004542CC" w:rsidRDefault="004524A4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3"/>
        </w:trPr>
        <w:tc>
          <w:tcPr>
            <w:tcW w:w="2447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70"/>
        </w:trPr>
        <w:tc>
          <w:tcPr>
            <w:tcW w:w="2447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3"/>
        </w:trPr>
        <w:tc>
          <w:tcPr>
            <w:tcW w:w="2447" w:type="dxa"/>
            <w:vMerge w:val="restart"/>
            <w:vAlign w:val="bottom"/>
          </w:tcPr>
          <w:p w:rsidR="003A3350" w:rsidRPr="004542CC" w:rsidRDefault="003A3350" w:rsidP="0045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3A3350" w:rsidRPr="004542CC" w:rsidRDefault="003A3350" w:rsidP="00C504BE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89"/>
        </w:trPr>
        <w:tc>
          <w:tcPr>
            <w:tcW w:w="2447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172"/>
        </w:trPr>
        <w:tc>
          <w:tcPr>
            <w:tcW w:w="2447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3"/>
        </w:trPr>
        <w:tc>
          <w:tcPr>
            <w:tcW w:w="9680" w:type="dxa"/>
            <w:gridSpan w:val="5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6"/>
        </w:trPr>
        <w:tc>
          <w:tcPr>
            <w:tcW w:w="9680" w:type="dxa"/>
            <w:gridSpan w:val="5"/>
            <w:vAlign w:val="bottom"/>
          </w:tcPr>
          <w:p w:rsidR="003A3350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26"/>
        </w:trPr>
        <w:tc>
          <w:tcPr>
            <w:tcW w:w="2447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442"/>
        </w:trPr>
        <w:tc>
          <w:tcPr>
            <w:tcW w:w="2447" w:type="dxa"/>
            <w:vAlign w:val="bottom"/>
          </w:tcPr>
          <w:p w:rsidR="003A3350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01.03</w:t>
            </w:r>
            <w:r w:rsidR="003A3350" w:rsidRPr="004542CC">
              <w:rPr>
                <w:rFonts w:asciiTheme="minorHAnsi" w:hAnsiTheme="minorHAnsi" w:cs="Calibri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542CC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4542CC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542CC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542CC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3A3350" w:rsidRPr="004542CC" w:rsidTr="00C504BE">
        <w:trPr>
          <w:trHeight w:val="303"/>
        </w:trPr>
        <w:tc>
          <w:tcPr>
            <w:tcW w:w="2445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1"/>
        </w:trPr>
        <w:tc>
          <w:tcPr>
            <w:tcW w:w="2445" w:type="dxa"/>
            <w:vMerge w:val="restart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3A3350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4524A4" w:rsidRPr="004542CC">
              <w:rPr>
                <w:rFonts w:asciiTheme="minorHAnsi" w:hAnsiTheme="minorHAnsi"/>
                <w:sz w:val="20"/>
                <w:szCs w:val="20"/>
              </w:rPr>
              <w:t>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3A3350" w:rsidRPr="004542CC" w:rsidRDefault="004524A4" w:rsidP="00C504BE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 xml:space="preserve">Test 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scris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intrebari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2400" w:type="dxa"/>
            <w:vMerge w:val="restart"/>
          </w:tcPr>
          <w:p w:rsidR="003A3350" w:rsidRPr="004542CC" w:rsidRDefault="004524A4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4"/>
        </w:trPr>
        <w:tc>
          <w:tcPr>
            <w:tcW w:w="2445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70"/>
        </w:trPr>
        <w:tc>
          <w:tcPr>
            <w:tcW w:w="2445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8"/>
        </w:trPr>
        <w:tc>
          <w:tcPr>
            <w:tcW w:w="2445" w:type="dxa"/>
            <w:vMerge w:val="restart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3A3350" w:rsidRPr="004542CC" w:rsidRDefault="003A3350" w:rsidP="00C504BE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84"/>
        </w:trPr>
        <w:tc>
          <w:tcPr>
            <w:tcW w:w="2445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172"/>
        </w:trPr>
        <w:tc>
          <w:tcPr>
            <w:tcW w:w="2445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3"/>
        </w:trPr>
        <w:tc>
          <w:tcPr>
            <w:tcW w:w="9685" w:type="dxa"/>
            <w:gridSpan w:val="5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r w:rsidR="00371F2A">
              <w:rPr>
                <w:rFonts w:asciiTheme="minorHAnsi" w:hAnsiTheme="minorHAnsi" w:cs="Calibri"/>
                <w:sz w:val="20"/>
                <w:szCs w:val="20"/>
              </w:rPr>
              <w:t>prinbarem</w:t>
            </w:r>
            <w:proofErr w:type="spellEnd"/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66"/>
        </w:trPr>
        <w:tc>
          <w:tcPr>
            <w:tcW w:w="9685" w:type="dxa"/>
            <w:gridSpan w:val="5"/>
            <w:vAlign w:val="bottom"/>
          </w:tcPr>
          <w:p w:rsidR="003A3350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228"/>
        </w:trPr>
        <w:tc>
          <w:tcPr>
            <w:tcW w:w="2445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4B0B3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542CC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3350" w:rsidRPr="004542CC" w:rsidTr="00C504BE">
        <w:trPr>
          <w:trHeight w:val="599"/>
        </w:trPr>
        <w:tc>
          <w:tcPr>
            <w:tcW w:w="2445" w:type="dxa"/>
            <w:vAlign w:val="bottom"/>
          </w:tcPr>
          <w:p w:rsidR="003A3350" w:rsidRPr="004542CC" w:rsidRDefault="004B0B39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01.03</w:t>
            </w:r>
            <w:r w:rsidR="003A3350" w:rsidRPr="004542CC">
              <w:rPr>
                <w:rFonts w:asciiTheme="minorHAnsi" w:hAnsiTheme="minorHAnsi" w:cs="Calibri"/>
                <w:w w:val="99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42CC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3A3350" w:rsidRPr="004542CC" w:rsidRDefault="003A3350" w:rsidP="00C5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350" w:rsidRPr="004542CC" w:rsidRDefault="00BC392A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BC392A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3A3350" w:rsidRPr="004542CC" w:rsidRDefault="003A3350" w:rsidP="003A33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07FEE" w:rsidRPr="004542CC" w:rsidRDefault="00707FEE">
      <w:pPr>
        <w:rPr>
          <w:rFonts w:asciiTheme="minorHAnsi" w:hAnsiTheme="minorHAnsi"/>
          <w:sz w:val="20"/>
          <w:szCs w:val="20"/>
        </w:rPr>
      </w:pPr>
    </w:p>
    <w:sectPr w:rsidR="00707FEE" w:rsidRPr="004542CC" w:rsidSect="00C504BE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39D"/>
    <w:multiLevelType w:val="hybridMultilevel"/>
    <w:tmpl w:val="D474E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1BF1"/>
    <w:multiLevelType w:val="multilevel"/>
    <w:tmpl w:val="2F0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0B71"/>
    <w:multiLevelType w:val="hybridMultilevel"/>
    <w:tmpl w:val="5E8A3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4C6"/>
    <w:multiLevelType w:val="hybridMultilevel"/>
    <w:tmpl w:val="7BBEB0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3379B"/>
    <w:multiLevelType w:val="singleLevel"/>
    <w:tmpl w:val="C90C85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BA80089"/>
    <w:multiLevelType w:val="hybridMultilevel"/>
    <w:tmpl w:val="746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A7EC7"/>
    <w:multiLevelType w:val="hybridMultilevel"/>
    <w:tmpl w:val="CA9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C41"/>
    <w:multiLevelType w:val="hybridMultilevel"/>
    <w:tmpl w:val="7684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30AC7"/>
    <w:multiLevelType w:val="hybridMultilevel"/>
    <w:tmpl w:val="2AA8F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3350"/>
    <w:rsid w:val="000C7FD3"/>
    <w:rsid w:val="000D3C88"/>
    <w:rsid w:val="001F0E26"/>
    <w:rsid w:val="002D3CCA"/>
    <w:rsid w:val="00371F2A"/>
    <w:rsid w:val="003A3350"/>
    <w:rsid w:val="003E1452"/>
    <w:rsid w:val="00425F06"/>
    <w:rsid w:val="004524A4"/>
    <w:rsid w:val="004542CC"/>
    <w:rsid w:val="004B0B39"/>
    <w:rsid w:val="004C45B9"/>
    <w:rsid w:val="004E73D7"/>
    <w:rsid w:val="00553C03"/>
    <w:rsid w:val="00643049"/>
    <w:rsid w:val="006F745C"/>
    <w:rsid w:val="00707FEE"/>
    <w:rsid w:val="0079203A"/>
    <w:rsid w:val="007C14C9"/>
    <w:rsid w:val="007D3D5A"/>
    <w:rsid w:val="009334C9"/>
    <w:rsid w:val="00934EB8"/>
    <w:rsid w:val="00983F99"/>
    <w:rsid w:val="00A44FB9"/>
    <w:rsid w:val="00A80694"/>
    <w:rsid w:val="00B613AC"/>
    <w:rsid w:val="00BC392A"/>
    <w:rsid w:val="00BD77E7"/>
    <w:rsid w:val="00C45F9B"/>
    <w:rsid w:val="00C504BE"/>
    <w:rsid w:val="00C966E3"/>
    <w:rsid w:val="00D32DEB"/>
    <w:rsid w:val="00DB24BC"/>
    <w:rsid w:val="00DC1E17"/>
    <w:rsid w:val="00E234B4"/>
    <w:rsid w:val="00E5627B"/>
    <w:rsid w:val="00F61FB3"/>
    <w:rsid w:val="00F91AAD"/>
    <w:rsid w:val="00FA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3350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934E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E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34EB8"/>
    <w:rPr>
      <w:color w:val="0000FF"/>
      <w:u w:val="single"/>
    </w:rPr>
  </w:style>
  <w:style w:type="paragraph" w:styleId="BodyText">
    <w:name w:val="Body Text"/>
    <w:basedOn w:val="Normal"/>
    <w:link w:val="BodyTextChar"/>
    <w:rsid w:val="004E73D7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E73D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3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3350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934E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E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34EB8"/>
    <w:rPr>
      <w:color w:val="0000FF"/>
      <w:u w:val="single"/>
    </w:rPr>
  </w:style>
  <w:style w:type="paragraph" w:styleId="BodyText">
    <w:name w:val="Body Text"/>
    <w:basedOn w:val="Normal"/>
    <w:link w:val="BodyTextChar"/>
    <w:rsid w:val="004E73D7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E73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id.gov/democracy/ipc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.unibuc.ro/" TargetMode="External"/><Relationship Id="rId5" Type="http://schemas.openxmlformats.org/officeDocument/2006/relationships/hyperlink" Target="http://www.sas.unibuc.ro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24</cp:revision>
  <dcterms:created xsi:type="dcterms:W3CDTF">2019-02-28T11:06:00Z</dcterms:created>
  <dcterms:modified xsi:type="dcterms:W3CDTF">2019-03-04T22:26:00Z</dcterms:modified>
</cp:coreProperties>
</file>